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907" w:rsidRDefault="00CB6BCE">
      <w:pPr>
        <w:shd w:val="clear" w:color="auto" w:fill="FFFFFF"/>
        <w:spacing w:line="276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СВЕДЕНИЯ О СОСТАВЕ РАБОТНИКОВ, ЗАМЕЩАЮЩИХ ДОЛЖНОСТИ ФЕДЕРАЛЬНОЙ ГОСУДАРСТВЕННОЙ  </w:t>
      </w:r>
    </w:p>
    <w:p w:rsidR="00F94907" w:rsidRDefault="00CB6BCE">
      <w:pPr>
        <w:shd w:val="clear" w:color="auto" w:fill="FFFFFF"/>
        <w:spacing w:line="276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ГРАЖДАНСКОЙ СЛУЖБЫ ПО ПОЛУ, ВОЗРАСТУ, СТАЖУ ГОСУДАРСТВЕННОЙ ГРАЖДАНСКОЙ СЛУЖБЫ, ОБРАЗОВАНИЮ </w:t>
      </w:r>
    </w:p>
    <w:p w:rsidR="00F94907" w:rsidRDefault="00CB6BCE">
      <w:pPr>
        <w:shd w:val="clear" w:color="auto" w:fill="FFFFFF"/>
        <w:spacing w:line="276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ПО СОСТОЯНИЮ НА 1 ЯНВАРЯ 2021 ГОДА</w:t>
      </w:r>
    </w:p>
    <w:p w:rsidR="00F94907" w:rsidRDefault="00F94907">
      <w:pPr>
        <w:shd w:val="clear" w:color="auto" w:fill="FFFFFF"/>
        <w:spacing w:line="264" w:lineRule="exact"/>
        <w:ind w:left="43"/>
        <w:jc w:val="center"/>
      </w:pPr>
    </w:p>
    <w:p w:rsidR="00F94907" w:rsidRDefault="00CB6BCE">
      <w:pPr>
        <w:shd w:val="clear" w:color="auto" w:fill="FFFFFF"/>
        <w:spacing w:before="22" w:line="276" w:lineRule="auto"/>
        <w:ind w:firstLine="698"/>
        <w:jc w:val="both"/>
      </w:pPr>
      <w:r>
        <w:rPr>
          <w:rFonts w:ascii="Times New Roman" w:hAnsi="Times New Roman" w:cs="Times New Roman"/>
          <w:sz w:val="28"/>
          <w:szCs w:val="28"/>
        </w:rPr>
        <w:t>По состоянию на 1 января 2021 года штатная численность федеральных государственных гражданских служащих Управления Министерства юстиции Российской Федерации по Омской области (далее – Управление) составляет 36 штатных единиц, фактическая численность – 31 ч</w:t>
      </w:r>
      <w:r>
        <w:rPr>
          <w:rFonts w:ascii="Times New Roman" w:hAnsi="Times New Roman" w:cs="Times New Roman"/>
          <w:sz w:val="28"/>
          <w:szCs w:val="28"/>
        </w:rPr>
        <w:t xml:space="preserve">еловек. </w:t>
      </w:r>
    </w:p>
    <w:p w:rsidR="00F94907" w:rsidRDefault="00CB6BCE">
      <w:pPr>
        <w:shd w:val="clear" w:color="auto" w:fill="FFFFFF"/>
        <w:spacing w:before="22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5288280" cy="202946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br/>
      </w:r>
    </w:p>
    <w:p w:rsidR="00F94907" w:rsidRDefault="00CB6BCE">
      <w:pPr>
        <w:shd w:val="clear" w:color="auto" w:fill="FFFFFF"/>
        <w:spacing w:before="22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Уровень профессионального образования федеральных государственных гражданских служащих Управления соответствует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квалификационным требованиям, предъявляемым к уровню образования в соответствии с замещаемыми должностями и выглядит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следующим образ</w:t>
      </w:r>
      <w:r>
        <w:rPr>
          <w:rFonts w:ascii="Times New Roman" w:hAnsi="Times New Roman" w:cs="Times New Roman"/>
          <w:bCs/>
          <w:sz w:val="28"/>
          <w:szCs w:val="28"/>
        </w:rPr>
        <w:t>ом: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F94907" w:rsidRDefault="00CB6BCE">
      <w:pPr>
        <w:tabs>
          <w:tab w:val="left" w:pos="11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72175" cy="31623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94907" w:rsidRDefault="00F94907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94907" w:rsidRDefault="00CB6BC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Стаж федеральных государственных гражданских служащих Управления Министерства юстиции Российской Федерации </w:t>
      </w:r>
    </w:p>
    <w:p w:rsidR="00F94907" w:rsidRDefault="00CB6BC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F94907" w:rsidRDefault="00F94907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94907" w:rsidRDefault="00CB6BCE">
      <w:pPr>
        <w:ind w:firstLine="709"/>
        <w:jc w:val="center"/>
      </w:pPr>
      <w:r>
        <w:rPr>
          <w:noProof/>
        </w:rPr>
        <w:drawing>
          <wp:inline distT="0" distB="0" distL="0" distR="0">
            <wp:extent cx="5316220" cy="231711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907" w:rsidRDefault="00CB6BCE">
      <w:pPr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Возраст федеральных государственных гражданских служащих Управления Министерства юстиции Российской Федерации</w:t>
      </w:r>
    </w:p>
    <w:p w:rsidR="00F94907" w:rsidRDefault="00CB6BCE">
      <w:pPr>
        <w:shd w:val="clear" w:color="auto" w:fill="FFFFFF"/>
        <w:tabs>
          <w:tab w:val="left" w:pos="3792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CB6BCE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358765" cy="231711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94907" w:rsidRDefault="00F94907">
      <w:pPr>
        <w:ind w:firstLine="709"/>
      </w:pPr>
    </w:p>
    <w:sectPr w:rsidR="00F94907" w:rsidSect="00CB6BCE">
      <w:pgSz w:w="11906" w:h="16838"/>
      <w:pgMar w:top="1417" w:right="1417" w:bottom="851" w:left="1417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907"/>
    <w:rsid w:val="00CB6BCE"/>
    <w:rsid w:val="00F9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ADB"/>
    <w:pPr>
      <w:widowControl w:val="0"/>
      <w:suppressAutoHyphens/>
    </w:pPr>
    <w:rPr>
      <w:rFonts w:ascii="Arial" w:hAnsi="Arial" w:cs="Arial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4F3CE9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">
    <w:name w:val="Абзац списка1"/>
    <w:basedOn w:val="a"/>
    <w:qFormat/>
    <w:rsid w:val="00D16F81"/>
    <w:pPr>
      <w:widowControl/>
      <w:spacing w:after="200" w:line="276" w:lineRule="auto"/>
      <w:ind w:left="720"/>
    </w:pPr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Balloon Text"/>
    <w:basedOn w:val="a"/>
    <w:qFormat/>
    <w:rsid w:val="004F3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view3D>
      <c:rotX val="15"/>
      <c:rotY val="0"/>
      <c:rAngAx val="0"/>
      <c:perspective val="0"/>
    </c:view3D>
    <c:floor>
      <c:thickness val="0"/>
      <c:spPr>
        <a:solidFill>
          <a:srgbClr val="D9D9D9"/>
        </a:solidFill>
        <a:ln>
          <a:noFill/>
        </a:ln>
      </c:spPr>
    </c:floor>
    <c:sideWall>
      <c:thickness val="0"/>
    </c:sideWall>
    <c:backWall>
      <c:thickness val="0"/>
      <c:spPr>
        <a:solidFill>
          <a:srgbClr val="D9D9D9"/>
        </a:solidFill>
        <a:ln>
          <a:noFill/>
        </a:ln>
      </c:spPr>
    </c:backWall>
    <c:plotArea>
      <c:layout/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00">
              <a:solidFill>
                <a:srgbClr val="000000"/>
              </a:solidFill>
              <a:round/>
            </a:ln>
          </c:spPr>
          <c:dPt>
            <c:idx val="0"/>
            <c:bubble3D val="0"/>
            <c:spPr>
              <a:solidFill>
                <a:srgbClr val="FF0000"/>
              </a:solidFill>
              <a:ln w="12600">
                <a:solidFill>
                  <a:srgbClr val="000000"/>
                </a:solidFill>
                <a:round/>
              </a:ln>
            </c:spPr>
          </c:dPt>
          <c:dPt>
            <c:idx val="1"/>
            <c:bubble3D val="0"/>
            <c:spPr>
              <a:solidFill>
                <a:srgbClr val="0000FF"/>
              </a:solidFill>
              <a:ln w="12600">
                <a:solidFill>
                  <a:srgbClr val="000000"/>
                </a:solidFill>
                <a:round/>
              </a:ln>
            </c:spPr>
          </c:dPt>
          <c:dLbls>
            <c:dLbl>
              <c:idx val="0"/>
              <c:layout/>
              <c:dLblPos val="bestFit"/>
              <c:showLegendKey val="0"/>
              <c:showVal val="0"/>
              <c:showCatName val="0"/>
              <c:showSerName val="0"/>
              <c:showPercent val="1"/>
              <c:showBubbleSize val="1"/>
            </c:dLbl>
            <c:dLbl>
              <c:idx val="1"/>
              <c:layout/>
              <c:dLblPos val="bestFit"/>
              <c:showLegendKey val="0"/>
              <c:showVal val="0"/>
              <c:showCatName val="0"/>
              <c:showSerName val="0"/>
              <c:showPercent val="1"/>
              <c:showBubbleSize val="1"/>
            </c:dLbl>
            <c:dLblPos val="bestFit"/>
            <c:showLegendKey val="0"/>
            <c:showVal val="0"/>
            <c:showCatName val="0"/>
            <c:showSerName val="0"/>
            <c:showPercent val="0"/>
            <c:showBubbleSize val="1"/>
            <c:showLeaderLines val="1"/>
          </c:dLbls>
          <c:cat>
            <c:strRef>
              <c:f>categories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2"/>
                <c:pt idx="0">
                  <c:v>0.84000000000000097</c:v>
                </c:pt>
                <c:pt idx="1">
                  <c:v>0.16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D9D9D9"/>
        </a:solidFill>
        <a:ln>
          <a:noFill/>
        </a:ln>
      </c:spPr>
    </c:plotArea>
    <c:legend>
      <c:legendPos val="r"/>
      <c:layout/>
      <c:overlay val="0"/>
      <c:spPr>
        <a:noFill/>
        <a:ln w="3240">
          <a:solidFill>
            <a:srgbClr val="000000"/>
          </a:solidFill>
          <a:round/>
        </a:ln>
      </c:spPr>
    </c:legend>
    <c:plotVisOnly val="1"/>
    <c:dispBlanksAs val="zero"/>
    <c:showDLblsOverMax val="1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view3D>
      <c:rotX val="75"/>
      <c:rotY val="0"/>
      <c:rAngAx val="0"/>
      <c:perspective val="30"/>
    </c:view3D>
    <c:floor>
      <c:thickness val="0"/>
      <c:spPr>
        <a:solidFill>
          <a:srgbClr val="D9D9D9"/>
        </a:solidFill>
        <a:ln>
          <a:noFill/>
        </a:ln>
      </c:spPr>
    </c:floor>
    <c:sideWall>
      <c:thickness val="0"/>
    </c:sideWall>
    <c:backWall>
      <c:thickness val="0"/>
      <c:spPr>
        <a:solidFill>
          <a:srgbClr val="D9D9D9"/>
        </a:solidFill>
        <a:ln>
          <a:noFill/>
        </a:ln>
      </c:spPr>
    </c:backWall>
    <c:plotArea>
      <c:layout/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FF0000"/>
            </a:solidFill>
            <a:ln w="12600">
              <a:solidFill>
                <a:srgbClr val="000000"/>
              </a:solidFill>
              <a:round/>
            </a:ln>
          </c:spPr>
          <c:dPt>
            <c:idx val="0"/>
            <c:bubble3D val="0"/>
            <c:spPr>
              <a:solidFill>
                <a:srgbClr val="0000FF"/>
              </a:solidFill>
              <a:ln w="12600">
                <a:solidFill>
                  <a:srgbClr val="000000"/>
                </a:solidFill>
                <a:round/>
              </a:ln>
            </c:spPr>
          </c:dPt>
          <c:dPt>
            <c:idx val="1"/>
            <c:bubble3D val="0"/>
            <c:spPr>
              <a:solidFill>
                <a:srgbClr val="C0504D"/>
              </a:solidFill>
              <a:ln w="12600">
                <a:solidFill>
                  <a:srgbClr val="000000"/>
                </a:solidFill>
                <a:round/>
              </a:ln>
            </c:spPr>
          </c:dPt>
          <c:dPt>
            <c:idx val="2"/>
            <c:bubble3D val="0"/>
            <c:spPr>
              <a:solidFill>
                <a:srgbClr val="FFFF00"/>
              </a:solidFill>
              <a:ln w="12600">
                <a:solidFill>
                  <a:srgbClr val="000000"/>
                </a:solidFill>
                <a:round/>
              </a:ln>
            </c:spPr>
          </c:dPt>
          <c:dPt>
            <c:idx val="3"/>
            <c:bubble3D val="0"/>
            <c:spPr>
              <a:solidFill>
                <a:srgbClr val="FF9900"/>
              </a:solidFill>
              <a:ln w="12600">
                <a:solidFill>
                  <a:srgbClr val="000000"/>
                </a:solidFill>
                <a:round/>
              </a:ln>
            </c:spPr>
          </c:dPt>
          <c:dPt>
            <c:idx val="4"/>
            <c:bubble3D val="0"/>
            <c:spPr>
              <a:solidFill>
                <a:srgbClr val="00FFFF"/>
              </a:solidFill>
              <a:ln w="12600">
                <a:solidFill>
                  <a:srgbClr val="000000"/>
                </a:solidFill>
                <a:round/>
              </a:ln>
            </c:spPr>
          </c:dPt>
          <c:dPt>
            <c:idx val="5"/>
            <c:bubble3D val="0"/>
            <c:spPr>
              <a:solidFill>
                <a:srgbClr val="F79646"/>
              </a:solidFill>
              <a:ln w="12600">
                <a:solidFill>
                  <a:srgbClr val="000000"/>
                </a:solidFill>
                <a:round/>
              </a:ln>
            </c:spPr>
          </c:dPt>
          <c:dLbls>
            <c:dLbl>
              <c:idx val="0"/>
              <c:layout/>
              <c:dLblPos val="bestFit"/>
              <c:showLegendKey val="0"/>
              <c:showVal val="0"/>
              <c:showCatName val="0"/>
              <c:showSerName val="0"/>
              <c:showPercent val="1"/>
              <c:showBubbleSize val="1"/>
            </c:dLbl>
            <c:dLbl>
              <c:idx val="1"/>
              <c:layout/>
              <c:dLblPos val="bestFit"/>
              <c:showLegendKey val="0"/>
              <c:showVal val="0"/>
              <c:showCatName val="0"/>
              <c:showSerName val="0"/>
              <c:showPercent val="1"/>
              <c:showBubbleSize val="1"/>
            </c:dLbl>
            <c:dLbl>
              <c:idx val="2"/>
              <c:layout/>
              <c:dLblPos val="bestFit"/>
              <c:showLegendKey val="0"/>
              <c:showVal val="0"/>
              <c:showCatName val="0"/>
              <c:showSerName val="0"/>
              <c:showPercent val="1"/>
              <c:showBubbleSize val="1"/>
            </c:dLbl>
            <c:dLbl>
              <c:idx val="3"/>
              <c:layout/>
              <c:dLblPos val="bestFit"/>
              <c:showLegendKey val="0"/>
              <c:showVal val="0"/>
              <c:showCatName val="0"/>
              <c:showSerName val="0"/>
              <c:showPercent val="1"/>
              <c:showBubbleSize val="1"/>
            </c:dLbl>
            <c:dLblPos val="bestFit"/>
            <c:showLegendKey val="0"/>
            <c:showVal val="0"/>
            <c:showCatName val="0"/>
            <c:showSerName val="0"/>
            <c:showPercent val="0"/>
            <c:showBubbleSize val="1"/>
            <c:showLeaderLines val="1"/>
          </c:dLbls>
          <c:cat>
            <c:strRef>
              <c:f>categories</c:f>
              <c:strCache>
                <c:ptCount val="6"/>
                <c:pt idx="0">
                  <c:v>Высшее юридическое образование</c:v>
                </c:pt>
                <c:pt idx="1">
                  <c:v>Иное высшее профессиональное образование </c:v>
                </c:pt>
                <c:pt idx="2">
                  <c:v>Среднее профессиональное образование </c:v>
                </c:pt>
                <c:pt idx="3">
                  <c:v>Два высших профессиональных образования</c:v>
                </c:pt>
                <c:pt idx="4">
                  <c:v>имеют послевузовское профессиональное обрпзование с присвоением ученой степени </c:v>
                </c:pt>
                <c:pt idx="5">
                  <c:v>"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6"/>
                <c:pt idx="0">
                  <c:v>0.78</c:v>
                </c:pt>
                <c:pt idx="1">
                  <c:v>0.19</c:v>
                </c:pt>
                <c:pt idx="2">
                  <c:v>0.03</c:v>
                </c:pt>
                <c:pt idx="3">
                  <c:v>0.25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D9D9D9"/>
        </a:solidFill>
        <a:ln>
          <a:noFill/>
        </a:ln>
      </c:spPr>
    </c:plotArea>
    <c:legend>
      <c:legendPos val="r"/>
      <c:layout/>
      <c:overlay val="0"/>
      <c:spPr>
        <a:solidFill>
          <a:srgbClr val="FFFFFF"/>
        </a:solidFill>
        <a:ln w="3240">
          <a:solidFill>
            <a:srgbClr val="000000"/>
          </a:solidFill>
          <a:round/>
        </a:ln>
      </c:spPr>
    </c:legend>
    <c:plotVisOnly val="1"/>
    <c:dispBlanksAs val="zero"/>
    <c:showDLblsOverMax val="1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view3D>
      <c:rotX val="16"/>
      <c:rotY val="27"/>
      <c:rAngAx val="1"/>
    </c:view3D>
    <c:floor>
      <c:thickness val="0"/>
      <c:spPr>
        <a:solidFill>
          <a:srgbClr val="C0C0C0"/>
        </a:solidFill>
        <a:ln w="3240">
          <a:solidFill>
            <a:srgbClr val="000000"/>
          </a:solidFill>
          <a:round/>
        </a:ln>
      </c:spPr>
    </c:floor>
    <c:sideWall>
      <c:thickness val="0"/>
    </c:sideWall>
    <c:backWall>
      <c:thickness val="0"/>
      <c:spPr>
        <a:solidFill>
          <a:srgbClr val="C0C0C0"/>
        </a:solidFill>
        <a:ln w="12600">
          <a:solidFill>
            <a:srgbClr val="000000"/>
          </a:solidFill>
          <a:round/>
        </a:ln>
      </c:spPr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label 0</c:f>
              <c:strCache>
                <c:ptCount val="1"/>
              </c:strCache>
            </c:strRef>
          </c:tx>
          <c:spPr>
            <a:solidFill>
              <a:srgbClr val="00FFFF"/>
            </a:solidFill>
            <a:ln w="12600">
              <a:solidFill>
                <a:srgbClr val="000000"/>
              </a:solidFill>
              <a:round/>
            </a:ln>
          </c:spPr>
          <c:invertIfNegative val="1"/>
          <c:dLbls>
            <c:showLegendKey val="0"/>
            <c:showVal val="1"/>
            <c:showCatName val="0"/>
            <c:showSerName val="0"/>
            <c:showPercent val="0"/>
            <c:showBubbleSize val="1"/>
            <c:showLeaderLines val="0"/>
          </c:dLbls>
          <c:cat>
            <c:strRef>
              <c:f>categories</c:f>
              <c:strCache>
                <c:ptCount val="6"/>
                <c:pt idx="0">
                  <c:v>до 1 года</c:v>
                </c:pt>
                <c:pt idx="1">
                  <c:v>от 1 года                  до 5 лет</c:v>
                </c:pt>
                <c:pt idx="2">
                  <c:v>от 5 лет                         до 10 лет</c:v>
                </c:pt>
                <c:pt idx="3">
                  <c:v>от 10 лет                  до 15 лет</c:v>
                </c:pt>
                <c:pt idx="4">
                  <c:v>от 15 лет                    до 25 лет</c:v>
                </c:pt>
                <c:pt idx="5">
                  <c:v>от 25 лет                           и более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6"/>
                <c:pt idx="0">
                  <c:v>0.06</c:v>
                </c:pt>
                <c:pt idx="1">
                  <c:v>0.06</c:v>
                </c:pt>
                <c:pt idx="2">
                  <c:v>7.0000000000000007E-2</c:v>
                </c:pt>
                <c:pt idx="3">
                  <c:v>0.22</c:v>
                </c:pt>
                <c:pt idx="4">
                  <c:v>0.5</c:v>
                </c:pt>
                <c:pt idx="5">
                  <c:v>0.09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600">
                    <a:solidFill>
                      <a:srgbClr val="000000"/>
                    </a:solidFill>
                    <a:round/>
                  </a:ln>
                </c14:spPr>
              </c14:invertSolidFillFmt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6116992"/>
        <c:axId val="86122880"/>
        <c:axId val="0"/>
      </c:bar3DChart>
      <c:catAx>
        <c:axId val="86116992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 w="3240">
            <a:solidFill>
              <a:srgbClr val="000000"/>
            </a:solidFill>
            <a:round/>
          </a:ln>
        </c:spPr>
        <c:crossAx val="86122880"/>
        <c:crosses val="autoZero"/>
        <c:auto val="1"/>
        <c:lblAlgn val="ctr"/>
        <c:lblOffset val="100"/>
        <c:noMultiLvlLbl val="1"/>
      </c:catAx>
      <c:valAx>
        <c:axId val="86122880"/>
        <c:scaling>
          <c:orientation val="minMax"/>
        </c:scaling>
        <c:delete val="0"/>
        <c:axPos val="l"/>
        <c:majorGridlines>
          <c:spPr>
            <a:ln w="3240">
              <a:solidFill>
                <a:srgbClr val="000000"/>
              </a:solidFill>
              <a:round/>
            </a:ln>
          </c:spPr>
        </c:majorGridlines>
        <c:numFmt formatCode="General" sourceLinked="1"/>
        <c:majorTickMark val="out"/>
        <c:minorTickMark val="none"/>
        <c:tickLblPos val="nextTo"/>
        <c:spPr>
          <a:ln w="3240">
            <a:solidFill>
              <a:srgbClr val="000000"/>
            </a:solidFill>
            <a:round/>
          </a:ln>
        </c:spPr>
        <c:crossAx val="86116992"/>
        <c:crosses val="autoZero"/>
        <c:crossBetween val="between"/>
      </c:valAx>
      <c:spPr>
        <a:solidFill>
          <a:srgbClr val="C0C0C0"/>
        </a:solidFill>
        <a:ln w="12600">
          <a:solidFill>
            <a:srgbClr val="000000"/>
          </a:solidFill>
          <a:round/>
        </a:ln>
      </c:spPr>
    </c:plotArea>
    <c:legend>
      <c:legendPos val="r"/>
      <c:layout/>
      <c:overlay val="0"/>
      <c:spPr>
        <a:solidFill>
          <a:srgbClr val="FFFFFF"/>
        </a:solidFill>
        <a:ln w="3240">
          <a:solidFill>
            <a:srgbClr val="000000"/>
          </a:solidFill>
          <a:round/>
        </a:ln>
      </c:spPr>
    </c:legend>
    <c:plotVisOnly val="1"/>
    <c:dispBlanksAs val="zero"/>
    <c:showDLblsOverMax val="1"/>
  </c:chart>
  <c:spPr>
    <a:noFill/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view3D>
      <c:rotX val="16"/>
      <c:rotY val="27"/>
      <c:rAngAx val="1"/>
    </c:view3D>
    <c:floor>
      <c:thickness val="0"/>
      <c:spPr>
        <a:solidFill>
          <a:srgbClr val="C0C0C0"/>
        </a:solidFill>
        <a:ln w="3240">
          <a:solidFill>
            <a:srgbClr val="000000"/>
          </a:solidFill>
          <a:round/>
        </a:ln>
      </c:spPr>
    </c:floor>
    <c:sideWall>
      <c:thickness val="0"/>
    </c:sideWall>
    <c:backWall>
      <c:thickness val="0"/>
      <c:spPr>
        <a:solidFill>
          <a:srgbClr val="C0C0C0"/>
        </a:solidFill>
        <a:ln w="12600">
          <a:solidFill>
            <a:srgbClr val="000000"/>
          </a:solidFill>
          <a:round/>
        </a:ln>
      </c:spPr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label 0</c:f>
              <c:strCache>
                <c:ptCount val="1"/>
              </c:strCache>
            </c:strRef>
          </c:tx>
          <c:spPr>
            <a:solidFill>
              <a:srgbClr val="00FFFF"/>
            </a:solidFill>
            <a:ln w="12600">
              <a:solidFill>
                <a:srgbClr val="000000"/>
              </a:solidFill>
              <a:round/>
            </a:ln>
          </c:spPr>
          <c:invertIfNegative val="1"/>
          <c:dLbls>
            <c:showLegendKey val="0"/>
            <c:showVal val="1"/>
            <c:showCatName val="0"/>
            <c:showSerName val="0"/>
            <c:showPercent val="0"/>
            <c:showBubbleSize val="1"/>
            <c:showLeaderLines val="0"/>
          </c:dLbls>
          <c:cat>
            <c:strRef>
              <c:f>categories</c:f>
              <c:strCache>
                <c:ptCount val="5"/>
                <c:pt idx="0">
                  <c:v>до 30 лет</c:v>
                </c:pt>
                <c:pt idx="1">
                  <c:v>от 30 до 39 лет</c:v>
                </c:pt>
                <c:pt idx="2">
                  <c:v>от 40 до 49 лет</c:v>
                </c:pt>
                <c:pt idx="3">
                  <c:v>от 50 до 59 лет</c:v>
                </c:pt>
                <c:pt idx="4">
                  <c:v>от 60 до 65 лет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5"/>
                <c:pt idx="0">
                  <c:v>0.09</c:v>
                </c:pt>
                <c:pt idx="1">
                  <c:v>0.34</c:v>
                </c:pt>
                <c:pt idx="2">
                  <c:v>0.48</c:v>
                </c:pt>
                <c:pt idx="3">
                  <c:v>0</c:v>
                </c:pt>
                <c:pt idx="4">
                  <c:v>0.09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600">
                    <a:solidFill>
                      <a:srgbClr val="000000"/>
                    </a:solidFill>
                    <a:round/>
                  </a:ln>
                </c14:spPr>
              </c14:invertSolidFillFmt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6156032"/>
        <c:axId val="86157568"/>
        <c:axId val="0"/>
      </c:bar3DChart>
      <c:catAx>
        <c:axId val="86156032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 w="3240">
            <a:solidFill>
              <a:srgbClr val="000000"/>
            </a:solidFill>
            <a:round/>
          </a:ln>
        </c:spPr>
        <c:crossAx val="86157568"/>
        <c:crosses val="autoZero"/>
        <c:auto val="1"/>
        <c:lblAlgn val="ctr"/>
        <c:lblOffset val="100"/>
        <c:noMultiLvlLbl val="1"/>
      </c:catAx>
      <c:valAx>
        <c:axId val="86157568"/>
        <c:scaling>
          <c:orientation val="minMax"/>
        </c:scaling>
        <c:delete val="0"/>
        <c:axPos val="l"/>
        <c:majorGridlines>
          <c:spPr>
            <a:ln w="3240">
              <a:solidFill>
                <a:srgbClr val="000000"/>
              </a:solidFill>
              <a:round/>
            </a:ln>
          </c:spPr>
        </c:majorGridlines>
        <c:numFmt formatCode="General" sourceLinked="1"/>
        <c:majorTickMark val="out"/>
        <c:minorTickMark val="none"/>
        <c:tickLblPos val="nextTo"/>
        <c:spPr>
          <a:ln w="3240">
            <a:solidFill>
              <a:srgbClr val="000000"/>
            </a:solidFill>
            <a:round/>
          </a:ln>
        </c:spPr>
        <c:crossAx val="86156032"/>
        <c:crosses val="autoZero"/>
        <c:crossBetween val="between"/>
      </c:valAx>
      <c:spPr>
        <a:solidFill>
          <a:srgbClr val="C0C0C0"/>
        </a:solidFill>
        <a:ln w="12600">
          <a:solidFill>
            <a:srgbClr val="000000"/>
          </a:solidFill>
          <a:round/>
        </a:ln>
      </c:spPr>
    </c:plotArea>
    <c:legend>
      <c:legendPos val="r"/>
      <c:layout/>
      <c:overlay val="0"/>
      <c:spPr>
        <a:solidFill>
          <a:srgbClr val="FFFFFF"/>
        </a:solidFill>
        <a:ln w="3240">
          <a:solidFill>
            <a:srgbClr val="000000"/>
          </a:solidFill>
          <a:round/>
        </a:ln>
      </c:spPr>
    </c:legend>
    <c:plotVisOnly val="1"/>
    <c:dispBlanksAs val="zero"/>
    <c:showDLblsOverMax val="1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149</Words>
  <Characters>854</Characters>
  <Application>Microsoft Office Word</Application>
  <DocSecurity>0</DocSecurity>
  <Lines>7</Lines>
  <Paragraphs>2</Paragraphs>
  <ScaleCrop>false</ScaleCrop>
  <Company>NhT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СОСТАВЕ РАБОТНИКОВ ЗАМЕЩАЮЩИХ ДОЛЖНОСТИ</dc:title>
  <dc:creator>25_3</dc:creator>
  <cp:lastModifiedBy>USER</cp:lastModifiedBy>
  <cp:revision>12</cp:revision>
  <cp:lastPrinted>2019-03-11T09:34:00Z</cp:lastPrinted>
  <dcterms:created xsi:type="dcterms:W3CDTF">2019-03-05T10:00:00Z</dcterms:created>
  <dcterms:modified xsi:type="dcterms:W3CDTF">2021-01-20T09:49:00Z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NhT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