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ADB" w:rsidRPr="00E25D78" w:rsidRDefault="004C0B86" w:rsidP="00D57ADB">
      <w:pPr>
        <w:shd w:val="clear" w:color="auto" w:fill="FFFFFF"/>
        <w:spacing w:line="264" w:lineRule="exact"/>
        <w:jc w:val="center"/>
        <w:rPr>
          <w:rFonts w:ascii="Times New Roman" w:hAnsi="Times New Roman" w:cs="Times New Roman"/>
          <w:spacing w:val="-10"/>
          <w:sz w:val="28"/>
          <w:szCs w:val="28"/>
        </w:rPr>
      </w:pPr>
      <w:r w:rsidRPr="00E25D78">
        <w:rPr>
          <w:rFonts w:ascii="Times New Roman" w:hAnsi="Times New Roman" w:cs="Times New Roman"/>
          <w:spacing w:val="-10"/>
          <w:sz w:val="28"/>
          <w:szCs w:val="28"/>
        </w:rPr>
        <w:t>СВЕДЕНИЯ О СОСТАВЕ РАБОТНИКОВ</w:t>
      </w:r>
      <w:r w:rsidR="00E643F4" w:rsidRPr="00E25D78">
        <w:rPr>
          <w:rFonts w:ascii="Times New Roman" w:hAnsi="Times New Roman" w:cs="Times New Roman"/>
          <w:spacing w:val="-10"/>
          <w:sz w:val="28"/>
          <w:szCs w:val="28"/>
        </w:rPr>
        <w:t xml:space="preserve">, </w:t>
      </w:r>
      <w:r w:rsidRPr="00E25D78">
        <w:rPr>
          <w:rFonts w:ascii="Times New Roman" w:hAnsi="Times New Roman" w:cs="Times New Roman"/>
          <w:spacing w:val="-10"/>
          <w:sz w:val="28"/>
          <w:szCs w:val="28"/>
        </w:rPr>
        <w:t>ЗАМЕЩАЮЩИХ ДОЛЖ</w:t>
      </w:r>
      <w:r w:rsidR="00E643F4" w:rsidRPr="00E25D78">
        <w:rPr>
          <w:rFonts w:ascii="Times New Roman" w:hAnsi="Times New Roman" w:cs="Times New Roman"/>
          <w:spacing w:val="-10"/>
          <w:sz w:val="28"/>
          <w:szCs w:val="28"/>
        </w:rPr>
        <w:t>НО</w:t>
      </w:r>
      <w:r w:rsidRPr="00E25D78">
        <w:rPr>
          <w:rFonts w:ascii="Times New Roman" w:hAnsi="Times New Roman" w:cs="Times New Roman"/>
          <w:spacing w:val="-10"/>
          <w:sz w:val="28"/>
          <w:szCs w:val="28"/>
        </w:rPr>
        <w:t>СТИ</w:t>
      </w:r>
      <w:r w:rsidR="00D57ADB" w:rsidRPr="00E25D78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</w:p>
    <w:p w:rsidR="00D57ADB" w:rsidRPr="00E25D78" w:rsidRDefault="00D57ADB" w:rsidP="00D57ADB">
      <w:pPr>
        <w:shd w:val="clear" w:color="auto" w:fill="FFFFFF"/>
        <w:spacing w:line="264" w:lineRule="exact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 w:rsidRPr="00E25D78">
        <w:rPr>
          <w:rFonts w:ascii="Times New Roman" w:hAnsi="Times New Roman" w:cs="Times New Roman"/>
          <w:spacing w:val="-8"/>
          <w:sz w:val="28"/>
          <w:szCs w:val="28"/>
        </w:rPr>
        <w:t xml:space="preserve">ФЕДЕРАЛЬНОЙ </w:t>
      </w:r>
      <w:r w:rsidR="004C0B86" w:rsidRPr="00E25D78">
        <w:rPr>
          <w:rFonts w:ascii="Times New Roman" w:hAnsi="Times New Roman" w:cs="Times New Roman"/>
          <w:spacing w:val="-8"/>
          <w:sz w:val="28"/>
          <w:szCs w:val="28"/>
        </w:rPr>
        <w:t>ГОСУДАРСТВЕННОЙ</w:t>
      </w:r>
      <w:r w:rsidR="00E643F4" w:rsidRPr="00E25D78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4C0B86" w:rsidRPr="00E25D78">
        <w:rPr>
          <w:rFonts w:ascii="Times New Roman" w:hAnsi="Times New Roman" w:cs="Times New Roman"/>
          <w:spacing w:val="-8"/>
          <w:sz w:val="28"/>
          <w:szCs w:val="28"/>
        </w:rPr>
        <w:t xml:space="preserve"> ГРАЖДАНСКОЙ СЛУЖБЫ </w:t>
      </w:r>
    </w:p>
    <w:p w:rsidR="00D57ADB" w:rsidRPr="00E25D78" w:rsidRDefault="004C0B86" w:rsidP="00D57ADB">
      <w:pPr>
        <w:shd w:val="clear" w:color="auto" w:fill="FFFFFF"/>
        <w:spacing w:line="264" w:lineRule="exact"/>
        <w:jc w:val="center"/>
        <w:rPr>
          <w:rFonts w:ascii="Times New Roman" w:hAnsi="Times New Roman" w:cs="Times New Roman"/>
          <w:spacing w:val="-8"/>
          <w:sz w:val="28"/>
          <w:szCs w:val="28"/>
        </w:rPr>
      </w:pPr>
      <w:r w:rsidRPr="00E25D78">
        <w:rPr>
          <w:rFonts w:ascii="Times New Roman" w:hAnsi="Times New Roman" w:cs="Times New Roman"/>
          <w:spacing w:val="-8"/>
          <w:sz w:val="28"/>
          <w:szCs w:val="28"/>
        </w:rPr>
        <w:t>ПО ПОЛУ, ВОЗРАСТУ, СТАЖУ</w:t>
      </w:r>
      <w:r w:rsidR="00D57ADB" w:rsidRPr="00E25D78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25D78">
        <w:rPr>
          <w:rFonts w:ascii="Times New Roman" w:hAnsi="Times New Roman" w:cs="Times New Roman"/>
          <w:spacing w:val="-8"/>
          <w:sz w:val="28"/>
          <w:szCs w:val="28"/>
        </w:rPr>
        <w:t>ГРАЖДАНСКОЙ СЛУЖБЫ</w:t>
      </w:r>
      <w:r w:rsidR="00E643F4" w:rsidRPr="00E25D78">
        <w:rPr>
          <w:rFonts w:ascii="Times New Roman" w:hAnsi="Times New Roman" w:cs="Times New Roman"/>
          <w:spacing w:val="-8"/>
          <w:sz w:val="28"/>
          <w:szCs w:val="28"/>
        </w:rPr>
        <w:t xml:space="preserve">, </w:t>
      </w:r>
      <w:r w:rsidRPr="00E25D78">
        <w:rPr>
          <w:rFonts w:ascii="Times New Roman" w:hAnsi="Times New Roman" w:cs="Times New Roman"/>
          <w:spacing w:val="-8"/>
          <w:sz w:val="28"/>
          <w:szCs w:val="28"/>
        </w:rPr>
        <w:t>ОБРАЗОВАНИЮ</w:t>
      </w:r>
      <w:r w:rsidR="00E643F4" w:rsidRPr="00E25D78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</w:p>
    <w:p w:rsidR="004C0B86" w:rsidRPr="00E25D78" w:rsidRDefault="004C0B86" w:rsidP="00D57ADB">
      <w:pPr>
        <w:shd w:val="clear" w:color="auto" w:fill="FFFFFF"/>
        <w:spacing w:line="264" w:lineRule="exact"/>
        <w:jc w:val="center"/>
        <w:rPr>
          <w:rFonts w:ascii="Times New Roman" w:hAnsi="Times New Roman" w:cs="Times New Roman"/>
          <w:spacing w:val="-9"/>
          <w:sz w:val="28"/>
          <w:szCs w:val="28"/>
        </w:rPr>
      </w:pPr>
      <w:r w:rsidRPr="00E25D78">
        <w:rPr>
          <w:rFonts w:ascii="Times New Roman" w:hAnsi="Times New Roman" w:cs="Times New Roman"/>
          <w:spacing w:val="-9"/>
          <w:sz w:val="28"/>
          <w:szCs w:val="28"/>
        </w:rPr>
        <w:t xml:space="preserve">ПО СОСТОЯНИЮ НА </w:t>
      </w:r>
      <w:r w:rsidR="0001185F" w:rsidRPr="00E25D78">
        <w:rPr>
          <w:rFonts w:ascii="Times New Roman" w:hAnsi="Times New Roman" w:cs="Times New Roman"/>
          <w:spacing w:val="-9"/>
          <w:sz w:val="28"/>
          <w:szCs w:val="28"/>
        </w:rPr>
        <w:t>1</w:t>
      </w:r>
      <w:r w:rsidR="00DD4654" w:rsidRPr="00E25D78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A43011" w:rsidRPr="00E25D78">
        <w:rPr>
          <w:rFonts w:ascii="Times New Roman" w:hAnsi="Times New Roman" w:cs="Times New Roman"/>
          <w:spacing w:val="-9"/>
          <w:sz w:val="28"/>
          <w:szCs w:val="28"/>
        </w:rPr>
        <w:t>ЯНВАРЯ</w:t>
      </w:r>
      <w:r w:rsidR="007C410E" w:rsidRPr="00E25D78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DD1F29" w:rsidRPr="00E25D78">
        <w:rPr>
          <w:rFonts w:ascii="Times New Roman" w:hAnsi="Times New Roman" w:cs="Times New Roman"/>
          <w:spacing w:val="-9"/>
          <w:sz w:val="28"/>
          <w:szCs w:val="28"/>
        </w:rPr>
        <w:t>201</w:t>
      </w:r>
      <w:r w:rsidR="00D57ADB" w:rsidRPr="00E25D78">
        <w:rPr>
          <w:rFonts w:ascii="Times New Roman" w:hAnsi="Times New Roman" w:cs="Times New Roman"/>
          <w:spacing w:val="-9"/>
          <w:sz w:val="28"/>
          <w:szCs w:val="28"/>
        </w:rPr>
        <w:t>9 ГОДА</w:t>
      </w:r>
    </w:p>
    <w:p w:rsidR="0001185F" w:rsidRDefault="0001185F" w:rsidP="004C0B86">
      <w:pPr>
        <w:shd w:val="clear" w:color="auto" w:fill="FFFFFF"/>
        <w:spacing w:line="264" w:lineRule="exact"/>
        <w:ind w:left="43"/>
        <w:jc w:val="center"/>
      </w:pPr>
    </w:p>
    <w:p w:rsidR="00D57ADB" w:rsidRDefault="00D57ADB" w:rsidP="00BF6AFC">
      <w:pPr>
        <w:shd w:val="clear" w:color="auto" w:fill="FFFFFF"/>
        <w:spacing w:before="22" w:line="276" w:lineRule="auto"/>
        <w:ind w:firstLine="698"/>
        <w:jc w:val="both"/>
        <w:rPr>
          <w:rFonts w:ascii="Times New Roman" w:hAnsi="Times New Roman" w:cs="Times New Roman"/>
          <w:sz w:val="28"/>
          <w:szCs w:val="28"/>
        </w:rPr>
      </w:pPr>
      <w:r w:rsidRPr="00D57ADB">
        <w:rPr>
          <w:rFonts w:ascii="Times New Roman" w:hAnsi="Times New Roman" w:cs="Times New Roman"/>
          <w:sz w:val="28"/>
          <w:szCs w:val="28"/>
        </w:rPr>
        <w:t>По состоянию на 1 января 2019 года штатная численность федеральных государственных гражданских служащих Управления</w:t>
      </w:r>
      <w:r>
        <w:rPr>
          <w:rFonts w:ascii="Times New Roman" w:hAnsi="Times New Roman" w:cs="Times New Roman"/>
          <w:sz w:val="28"/>
          <w:szCs w:val="28"/>
        </w:rPr>
        <w:t xml:space="preserve"> Министерства юстиции Российской Федерации по Омской области</w:t>
      </w:r>
      <w:r w:rsidR="0089601E">
        <w:rPr>
          <w:rFonts w:ascii="Times New Roman" w:hAnsi="Times New Roman" w:cs="Times New Roman"/>
          <w:sz w:val="28"/>
          <w:szCs w:val="28"/>
        </w:rPr>
        <w:t xml:space="preserve"> (далее – Управление)</w:t>
      </w:r>
      <w:r w:rsidRPr="00D57ADB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89601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D57ADB">
        <w:rPr>
          <w:rFonts w:ascii="Times New Roman" w:hAnsi="Times New Roman" w:cs="Times New Roman"/>
          <w:sz w:val="28"/>
          <w:szCs w:val="28"/>
        </w:rPr>
        <w:t>36 штатных единиц, фактическая численность – 3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57ADB">
        <w:rPr>
          <w:rFonts w:ascii="Times New Roman" w:hAnsi="Times New Roman" w:cs="Times New Roman"/>
          <w:sz w:val="28"/>
          <w:szCs w:val="28"/>
        </w:rPr>
        <w:t xml:space="preserve"> человека. </w:t>
      </w:r>
    </w:p>
    <w:p w:rsidR="0037446D" w:rsidRDefault="005B1FBA" w:rsidP="0037446D">
      <w:pPr>
        <w:shd w:val="clear" w:color="auto" w:fill="FFFFFF"/>
        <w:spacing w:before="22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488950</wp:posOffset>
            </wp:positionH>
            <wp:positionV relativeFrom="paragraph">
              <wp:posOffset>40640</wp:posOffset>
            </wp:positionV>
            <wp:extent cx="5416550" cy="2019300"/>
            <wp:effectExtent l="0" t="0" r="0" b="0"/>
            <wp:wrapSquare wrapText="bothSides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anchor>
        </w:drawing>
      </w:r>
      <w:r>
        <w:br w:type="textWrapping" w:clear="all"/>
      </w:r>
    </w:p>
    <w:p w:rsidR="005B1FBA" w:rsidRPr="005B1FBA" w:rsidRDefault="005B1FBA" w:rsidP="00BF6AFC">
      <w:pPr>
        <w:shd w:val="clear" w:color="auto" w:fill="FFFFFF"/>
        <w:spacing w:before="22" w:line="276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B1FBA">
        <w:rPr>
          <w:rFonts w:ascii="Times New Roman" w:hAnsi="Times New Roman" w:cs="Times New Roman"/>
          <w:bCs/>
          <w:sz w:val="28"/>
          <w:szCs w:val="28"/>
        </w:rPr>
        <w:t xml:space="preserve">Уровень профессионального образования </w:t>
      </w:r>
      <w:r w:rsidR="00BF6AFC">
        <w:rPr>
          <w:rFonts w:ascii="Times New Roman" w:hAnsi="Times New Roman" w:cs="Times New Roman"/>
          <w:bCs/>
          <w:sz w:val="28"/>
          <w:szCs w:val="28"/>
        </w:rPr>
        <w:t xml:space="preserve">федеральных государственных гражданских служащих </w:t>
      </w:r>
      <w:r w:rsidRPr="005B1FBA">
        <w:rPr>
          <w:rFonts w:ascii="Times New Roman" w:hAnsi="Times New Roman" w:cs="Times New Roman"/>
          <w:bCs/>
          <w:sz w:val="28"/>
          <w:szCs w:val="28"/>
        </w:rPr>
        <w:t xml:space="preserve">Управления соответствует </w:t>
      </w:r>
      <w:proofErr w:type="gramStart"/>
      <w:r w:rsidRPr="005B1FBA">
        <w:rPr>
          <w:rFonts w:ascii="Times New Roman" w:hAnsi="Times New Roman" w:cs="Times New Roman"/>
          <w:bCs/>
          <w:sz w:val="28"/>
          <w:szCs w:val="28"/>
        </w:rPr>
        <w:t>квалификационным требованиям, предъявляемым к уровню образования в соответствии с замещаемыми должностями</w:t>
      </w:r>
      <w:r w:rsidR="00574D0B">
        <w:rPr>
          <w:rFonts w:ascii="Times New Roman" w:hAnsi="Times New Roman" w:cs="Times New Roman"/>
          <w:bCs/>
          <w:sz w:val="28"/>
          <w:szCs w:val="28"/>
        </w:rPr>
        <w:t xml:space="preserve"> и выглядит</w:t>
      </w:r>
      <w:proofErr w:type="gramEnd"/>
      <w:r w:rsidR="00574D0B">
        <w:rPr>
          <w:rFonts w:ascii="Times New Roman" w:hAnsi="Times New Roman" w:cs="Times New Roman"/>
          <w:bCs/>
          <w:sz w:val="28"/>
          <w:szCs w:val="28"/>
        </w:rPr>
        <w:t xml:space="preserve"> следующим образом</w:t>
      </w:r>
      <w:r w:rsidRPr="005B1FBA">
        <w:rPr>
          <w:rFonts w:ascii="Times New Roman" w:hAnsi="Times New Roman" w:cs="Times New Roman"/>
          <w:bCs/>
          <w:sz w:val="28"/>
          <w:szCs w:val="28"/>
        </w:rPr>
        <w:t>:</w:t>
      </w:r>
      <w:r w:rsidRPr="005B1FBA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</w:p>
    <w:p w:rsidR="000570F4" w:rsidRDefault="00BF6AFC" w:rsidP="00BF6AFC">
      <w:pPr>
        <w:tabs>
          <w:tab w:val="left" w:pos="114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69000" cy="2781300"/>
            <wp:effectExtent l="0" t="0" r="0" b="0"/>
            <wp:docPr id="5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BF6AFC" w:rsidRDefault="00BF6AFC" w:rsidP="00BF6AFC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</w:p>
    <w:p w:rsidR="00BF6AFC" w:rsidRDefault="00BF6AFC" w:rsidP="00BF6AFC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</w:p>
    <w:p w:rsidR="00BF6AFC" w:rsidRDefault="00BF6AFC" w:rsidP="00BF6AFC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</w:p>
    <w:p w:rsidR="00BF6AFC" w:rsidRDefault="00BF6AFC" w:rsidP="00BF6AFC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</w:p>
    <w:p w:rsidR="00F321B3" w:rsidRDefault="00F321B3" w:rsidP="00BF6AFC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</w:p>
    <w:p w:rsidR="00F321B3" w:rsidRDefault="00F321B3" w:rsidP="00BF6AFC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</w:p>
    <w:p w:rsidR="00F321B3" w:rsidRDefault="00F321B3" w:rsidP="00BF6AFC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</w:p>
    <w:p w:rsidR="00F321B3" w:rsidRDefault="00F321B3" w:rsidP="00BF6AFC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</w:p>
    <w:p w:rsidR="00F321B3" w:rsidRDefault="00574D0B" w:rsidP="00F321B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21B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Стаж </w:t>
      </w:r>
      <w:r w:rsidR="00707800" w:rsidRPr="00F321B3">
        <w:rPr>
          <w:rFonts w:ascii="Times New Roman" w:hAnsi="Times New Roman" w:cs="Times New Roman"/>
          <w:b/>
          <w:sz w:val="28"/>
          <w:szCs w:val="28"/>
        </w:rPr>
        <w:t xml:space="preserve">федеральных </w:t>
      </w:r>
      <w:r w:rsidRPr="00F321B3">
        <w:rPr>
          <w:rFonts w:ascii="Times New Roman" w:hAnsi="Times New Roman" w:cs="Times New Roman"/>
          <w:b/>
          <w:sz w:val="28"/>
          <w:szCs w:val="28"/>
        </w:rPr>
        <w:t>государственн</w:t>
      </w:r>
      <w:r w:rsidR="00707800" w:rsidRPr="00F321B3">
        <w:rPr>
          <w:rFonts w:ascii="Times New Roman" w:hAnsi="Times New Roman" w:cs="Times New Roman"/>
          <w:b/>
          <w:sz w:val="28"/>
          <w:szCs w:val="28"/>
        </w:rPr>
        <w:t>ых гражданских</w:t>
      </w:r>
      <w:r w:rsidRPr="00F321B3">
        <w:rPr>
          <w:rFonts w:ascii="Times New Roman" w:hAnsi="Times New Roman" w:cs="Times New Roman"/>
          <w:b/>
          <w:sz w:val="28"/>
          <w:szCs w:val="28"/>
        </w:rPr>
        <w:t xml:space="preserve"> служ</w:t>
      </w:r>
      <w:r w:rsidR="00707800" w:rsidRPr="00F321B3">
        <w:rPr>
          <w:rFonts w:ascii="Times New Roman" w:hAnsi="Times New Roman" w:cs="Times New Roman"/>
          <w:b/>
          <w:sz w:val="28"/>
          <w:szCs w:val="28"/>
        </w:rPr>
        <w:t>ащих Управления</w:t>
      </w:r>
      <w:r w:rsidR="00F321B3">
        <w:rPr>
          <w:rFonts w:ascii="Times New Roman" w:hAnsi="Times New Roman" w:cs="Times New Roman"/>
          <w:b/>
          <w:sz w:val="28"/>
          <w:szCs w:val="28"/>
        </w:rPr>
        <w:t xml:space="preserve"> Министерства юстиции Российской Федерации </w:t>
      </w:r>
    </w:p>
    <w:p w:rsidR="00BF6AFC" w:rsidRPr="00F321B3" w:rsidRDefault="00F321B3" w:rsidP="00F321B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Омской области</w:t>
      </w:r>
    </w:p>
    <w:p w:rsidR="00BF6AFC" w:rsidRPr="00BF6AFC" w:rsidRDefault="00BF6AFC" w:rsidP="00BF6AFC">
      <w:pPr>
        <w:tabs>
          <w:tab w:val="left" w:pos="1140"/>
        </w:tabs>
        <w:rPr>
          <w:rFonts w:ascii="Times New Roman" w:hAnsi="Times New Roman" w:cs="Times New Roman"/>
          <w:sz w:val="24"/>
          <w:szCs w:val="24"/>
        </w:rPr>
      </w:pPr>
    </w:p>
    <w:p w:rsidR="00D77969" w:rsidRDefault="004F3CE9" w:rsidP="00F321B3">
      <w:pPr>
        <w:ind w:firstLine="709"/>
        <w:jc w:val="center"/>
      </w:pPr>
      <w:r>
        <w:rPr>
          <w:noProof/>
        </w:rPr>
        <w:drawing>
          <wp:inline distT="0" distB="0" distL="0" distR="0">
            <wp:extent cx="6216650" cy="2317750"/>
            <wp:effectExtent l="0" t="0" r="0" b="0"/>
            <wp:docPr id="3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D77969" w:rsidRDefault="00D77969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F321B3" w:rsidRDefault="00F321B3" w:rsidP="00F321B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21B3" w:rsidRDefault="00F321B3" w:rsidP="00F321B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21B3" w:rsidRDefault="00F321B3" w:rsidP="00F321B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21B3" w:rsidRDefault="004A4618" w:rsidP="00F321B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Возраст</w:t>
      </w:r>
      <w:r w:rsidR="00F321B3" w:rsidRPr="00F321B3">
        <w:rPr>
          <w:rFonts w:ascii="Times New Roman" w:hAnsi="Times New Roman" w:cs="Times New Roman"/>
          <w:b/>
          <w:sz w:val="28"/>
          <w:szCs w:val="28"/>
        </w:rPr>
        <w:t xml:space="preserve"> федеральных государственных гражданских служащих Управления</w:t>
      </w:r>
      <w:r w:rsidR="00F321B3">
        <w:rPr>
          <w:rFonts w:ascii="Times New Roman" w:hAnsi="Times New Roman" w:cs="Times New Roman"/>
          <w:b/>
          <w:sz w:val="28"/>
          <w:szCs w:val="28"/>
        </w:rPr>
        <w:t xml:space="preserve"> Министерства юстиции Российской Федерации</w:t>
      </w:r>
    </w:p>
    <w:p w:rsidR="00D77969" w:rsidRDefault="00F321B3" w:rsidP="00F321B3">
      <w:pPr>
        <w:shd w:val="clear" w:color="auto" w:fill="FFFFFF"/>
        <w:tabs>
          <w:tab w:val="left" w:pos="3792"/>
        </w:tabs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по Омской области</w:t>
      </w:r>
    </w:p>
    <w:p w:rsidR="00D77969" w:rsidRDefault="00D77969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4C0B86" w:rsidRDefault="0019366B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19366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216650" cy="2317750"/>
            <wp:effectExtent l="0" t="0" r="0" b="0"/>
            <wp:docPr id="10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9366B" w:rsidRDefault="0019366B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19366B" w:rsidRDefault="0019366B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17745F" w:rsidRDefault="0017745F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17745F" w:rsidRDefault="0017745F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17745F" w:rsidRDefault="0017745F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17745F" w:rsidRDefault="0017745F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17745F" w:rsidRDefault="0017745F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17745F" w:rsidRDefault="0017745F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17745F" w:rsidRDefault="0017745F" w:rsidP="0071570F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4B0D9A" w:rsidRPr="00D77969" w:rsidRDefault="004B0D9A" w:rsidP="0071570F">
      <w:pPr>
        <w:ind w:firstLine="709"/>
      </w:pPr>
    </w:p>
    <w:sectPr w:rsidR="004B0D9A" w:rsidRPr="00D77969" w:rsidSect="003A5ADB"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DA4BDF"/>
    <w:multiLevelType w:val="hybridMultilevel"/>
    <w:tmpl w:val="E316839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stylePaneFormatFilter w:val="3F01"/>
  <w:defaultTabStop w:val="708"/>
  <w:characterSpacingControl w:val="doNotCompress"/>
  <w:compat/>
  <w:rsids>
    <w:rsidRoot w:val="003A5ADB"/>
    <w:rsid w:val="0001185F"/>
    <w:rsid w:val="00012D50"/>
    <w:rsid w:val="00036381"/>
    <w:rsid w:val="000570F4"/>
    <w:rsid w:val="00085F20"/>
    <w:rsid w:val="00096E22"/>
    <w:rsid w:val="000F5CC2"/>
    <w:rsid w:val="00100E79"/>
    <w:rsid w:val="001140C1"/>
    <w:rsid w:val="00161C49"/>
    <w:rsid w:val="0017745F"/>
    <w:rsid w:val="0018273B"/>
    <w:rsid w:val="0019366B"/>
    <w:rsid w:val="001B2D8E"/>
    <w:rsid w:val="001D1B3E"/>
    <w:rsid w:val="00282497"/>
    <w:rsid w:val="00291F0C"/>
    <w:rsid w:val="002B25DE"/>
    <w:rsid w:val="002C2E78"/>
    <w:rsid w:val="00341C3C"/>
    <w:rsid w:val="00342022"/>
    <w:rsid w:val="003457CE"/>
    <w:rsid w:val="00350736"/>
    <w:rsid w:val="0037446D"/>
    <w:rsid w:val="003A5ADB"/>
    <w:rsid w:val="004410A6"/>
    <w:rsid w:val="004A4618"/>
    <w:rsid w:val="004B0D9A"/>
    <w:rsid w:val="004B55AD"/>
    <w:rsid w:val="004C0B86"/>
    <w:rsid w:val="004F3CE9"/>
    <w:rsid w:val="00574D0B"/>
    <w:rsid w:val="005A0EFC"/>
    <w:rsid w:val="005B1FBA"/>
    <w:rsid w:val="005E5D1E"/>
    <w:rsid w:val="00614885"/>
    <w:rsid w:val="00634B33"/>
    <w:rsid w:val="00647F3F"/>
    <w:rsid w:val="00707800"/>
    <w:rsid w:val="00711A1F"/>
    <w:rsid w:val="0071570F"/>
    <w:rsid w:val="0074732E"/>
    <w:rsid w:val="007C410E"/>
    <w:rsid w:val="00811524"/>
    <w:rsid w:val="00893FA3"/>
    <w:rsid w:val="00894708"/>
    <w:rsid w:val="0089601E"/>
    <w:rsid w:val="008E09CB"/>
    <w:rsid w:val="008F0A70"/>
    <w:rsid w:val="00916E70"/>
    <w:rsid w:val="009360A8"/>
    <w:rsid w:val="009E659E"/>
    <w:rsid w:val="00A43011"/>
    <w:rsid w:val="00A86E53"/>
    <w:rsid w:val="00A93880"/>
    <w:rsid w:val="00A97F9F"/>
    <w:rsid w:val="00AC2777"/>
    <w:rsid w:val="00AF6081"/>
    <w:rsid w:val="00B6609C"/>
    <w:rsid w:val="00BA4922"/>
    <w:rsid w:val="00BC5D54"/>
    <w:rsid w:val="00BF6167"/>
    <w:rsid w:val="00BF6AFC"/>
    <w:rsid w:val="00BF79BD"/>
    <w:rsid w:val="00C0384A"/>
    <w:rsid w:val="00C95D86"/>
    <w:rsid w:val="00CA0F55"/>
    <w:rsid w:val="00CF3F58"/>
    <w:rsid w:val="00D16F81"/>
    <w:rsid w:val="00D57ADB"/>
    <w:rsid w:val="00D76829"/>
    <w:rsid w:val="00D77969"/>
    <w:rsid w:val="00DD1F29"/>
    <w:rsid w:val="00DD4654"/>
    <w:rsid w:val="00E20DB2"/>
    <w:rsid w:val="00E25D78"/>
    <w:rsid w:val="00E26893"/>
    <w:rsid w:val="00E643F4"/>
    <w:rsid w:val="00F058D5"/>
    <w:rsid w:val="00F321B3"/>
    <w:rsid w:val="00F708F2"/>
    <w:rsid w:val="00FC5B4E"/>
    <w:rsid w:val="00FF1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5AD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16F81"/>
    <w:pPr>
      <w:widowControl/>
      <w:autoSpaceDE/>
      <w:autoSpaceDN/>
      <w:adjustRightInd/>
      <w:spacing w:after="200" w:line="276" w:lineRule="auto"/>
      <w:ind w:left="720"/>
    </w:pPr>
    <w:rPr>
      <w:rFonts w:ascii="Times New Roman" w:hAnsi="Times New Roman" w:cs="Times New Roman"/>
      <w:sz w:val="28"/>
      <w:szCs w:val="28"/>
      <w:lang w:eastAsia="en-US"/>
    </w:rPr>
  </w:style>
  <w:style w:type="paragraph" w:styleId="a3">
    <w:name w:val="Balloon Text"/>
    <w:basedOn w:val="a"/>
    <w:link w:val="a4"/>
    <w:rsid w:val="004F3C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F3C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perspective val="0"/>
    </c:view3D>
    <c:plotArea>
      <c:layout>
        <c:manualLayout>
          <c:layoutTarget val="inner"/>
          <c:xMode val="edge"/>
          <c:yMode val="edge"/>
          <c:x val="5.9548974900997913E-3"/>
          <c:y val="0.15531718912494444"/>
          <c:w val="0.70279609670086551"/>
          <c:h val="0.73277778969726859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solidFill>
              <a:srgbClr val="9999FF"/>
            </a:solidFill>
            <a:ln w="12736">
              <a:solidFill>
                <a:srgbClr val="000000"/>
              </a:solidFill>
              <a:prstDash val="solid"/>
            </a:ln>
          </c:spPr>
          <c:dPt>
            <c:idx val="0"/>
            <c:spPr>
              <a:solidFill>
                <a:srgbClr val="FF0000"/>
              </a:solidFill>
              <a:ln w="12736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0000FF"/>
              </a:solidFill>
              <a:ln w="12736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9.0298067958386838E-2"/>
                  <c:y val="-0.5115079482989151"/>
                </c:manualLayout>
              </c:layout>
              <c:spPr/>
              <c:txPr>
                <a:bodyPr/>
                <a:lstStyle/>
                <a:p>
                  <a:pPr>
                    <a:defRPr sz="1600" baseline="0"/>
                  </a:pPr>
                  <a:endParaRPr lang="ru-RU"/>
                </a:p>
              </c:txPr>
              <c:showVal val="1"/>
            </c:dLbl>
            <c:dLbl>
              <c:idx val="1"/>
              <c:layout>
                <c:manualLayout>
                  <c:x val="0.12418938254054701"/>
                  <c:y val="0.10614321794681335"/>
                </c:manualLayout>
              </c:layout>
              <c:spPr/>
              <c:txPr>
                <a:bodyPr/>
                <a:lstStyle/>
                <a:p>
                  <a:pPr>
                    <a:defRPr sz="1000" baseline="0"/>
                  </a:pPr>
                  <a:endParaRPr lang="ru-RU"/>
                </a:p>
              </c:txPr>
              <c:showVal val="1"/>
            </c:dLbl>
            <c:delete val="1"/>
          </c:dLbls>
          <c:cat>
            <c:strRef>
              <c:f>Sheet1!$B$1:$C$1</c:f>
              <c:strCache>
                <c:ptCount val="2"/>
                <c:pt idx="0">
                  <c:v>Женщины</c:v>
                </c:pt>
                <c:pt idx="1">
                  <c:v>Мужчины</c:v>
                </c:pt>
              </c:strCache>
            </c:strRef>
          </c:cat>
          <c:val>
            <c:numRef>
              <c:f>Sheet1!$B$2:$C$2</c:f>
              <c:numCache>
                <c:formatCode>0%</c:formatCode>
                <c:ptCount val="2"/>
                <c:pt idx="0">
                  <c:v>0.84850000000000003</c:v>
                </c:pt>
                <c:pt idx="1">
                  <c:v>0.15150000000000008</c:v>
                </c:pt>
              </c:numCache>
            </c:numRef>
          </c:val>
        </c:ser>
      </c:pie3DChart>
      <c:spPr>
        <a:noFill/>
        <a:ln w="12736">
          <a:noFill/>
          <a:prstDash val="solid"/>
        </a:ln>
      </c:spPr>
    </c:plotArea>
    <c:legend>
      <c:legendPos val="r"/>
      <c:legendEntry>
        <c:idx val="0"/>
        <c:txPr>
          <a:bodyPr/>
          <a:lstStyle/>
          <a:p>
            <a:pPr>
              <a:defRPr sz="14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4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ayout>
        <c:manualLayout>
          <c:xMode val="edge"/>
          <c:yMode val="edge"/>
          <c:x val="0.72726495647598599"/>
          <c:y val="0.269417124746199"/>
          <c:w val="0.24284590745031442"/>
          <c:h val="0.30705394190871382"/>
        </c:manualLayout>
      </c:layout>
      <c:spPr>
        <a:noFill/>
        <a:ln w="3184">
          <a:solidFill>
            <a:srgbClr val="000000"/>
          </a:solidFill>
          <a:prstDash val="solid"/>
        </a:ln>
      </c:spPr>
      <c:txPr>
        <a:bodyPr/>
        <a:lstStyle/>
        <a:p>
          <a:pPr>
            <a:defRPr sz="737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zero"/>
  </c:chart>
  <c:spPr>
    <a:noFill/>
    <a:ln>
      <a:noFill/>
    </a:ln>
  </c:spPr>
  <c:txPr>
    <a:bodyPr/>
    <a:lstStyle/>
    <a:p>
      <a:pPr algn="just">
        <a:defRPr sz="852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75"/>
      <c:perspective val="30"/>
    </c:view3D>
    <c:sideWall>
      <c:spPr>
        <a:solidFill>
          <a:srgbClr val="C0C0C0"/>
        </a:solidFill>
        <a:ln w="25348">
          <a:noFill/>
        </a:ln>
      </c:spPr>
    </c:sideWall>
    <c:backWall>
      <c:spPr>
        <a:solidFill>
          <a:srgbClr val="C0C0C0"/>
        </a:solidFill>
        <a:ln w="25348">
          <a:noFill/>
        </a:ln>
      </c:spPr>
    </c:backWall>
    <c:plotArea>
      <c:layout>
        <c:manualLayout>
          <c:layoutTarget val="inner"/>
          <c:xMode val="edge"/>
          <c:yMode val="edge"/>
          <c:x val="1.6597510373443983E-2"/>
          <c:y val="9.5348837209302331E-2"/>
          <c:w val="0.49930843706777406"/>
          <c:h val="0.83953488372092933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solidFill>
              <a:srgbClr val="FF0000"/>
            </a:solidFill>
            <a:ln w="12674">
              <a:solidFill>
                <a:srgbClr val="000000"/>
              </a:solidFill>
              <a:prstDash val="solid"/>
            </a:ln>
          </c:spPr>
          <c:dPt>
            <c:idx val="0"/>
            <c:spPr>
              <a:solidFill>
                <a:srgbClr val="0000FF"/>
              </a:solidFill>
              <a:ln w="12674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00"/>
              </a:solidFill>
              <a:ln w="12674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FF9900"/>
              </a:solidFill>
              <a:ln w="12674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00FFFF"/>
              </a:solidFill>
              <a:ln w="12674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0.16567666275758075"/>
                  <c:y val="-0.16435695538057737"/>
                </c:manualLayout>
              </c:layout>
              <c:spPr/>
              <c:txPr>
                <a:bodyPr/>
                <a:lstStyle/>
                <a:p>
                  <a:pPr>
                    <a:defRPr sz="1700" baseline="0"/>
                  </a:pPr>
                  <a:endParaRPr lang="ru-RU"/>
                </a:p>
              </c:txPr>
              <c:showVal val="1"/>
            </c:dLbl>
            <c:dLbl>
              <c:idx val="1"/>
              <c:layout>
                <c:manualLayout>
                  <c:x val="0.10277734963980562"/>
                  <c:y val="-5.4208104123970813E-2"/>
                </c:manualLayout>
              </c:layout>
              <c:spPr/>
              <c:txPr>
                <a:bodyPr/>
                <a:lstStyle/>
                <a:p>
                  <a:pPr>
                    <a:defRPr sz="1500" baseline="0"/>
                  </a:pPr>
                  <a:endParaRPr lang="ru-RU"/>
                </a:p>
              </c:txPr>
              <c:showVal val="1"/>
            </c:dLbl>
            <c:dLbl>
              <c:idx val="2"/>
              <c:layout>
                <c:manualLayout>
                  <c:x val="5.47445133188139E-2"/>
                  <c:y val="4.7962823140258189E-2"/>
                </c:manualLayout>
              </c:layout>
              <c:spPr/>
              <c:txPr>
                <a:bodyPr/>
                <a:lstStyle/>
                <a:p>
                  <a:pPr>
                    <a:defRPr sz="800" baseline="0"/>
                  </a:pPr>
                  <a:endParaRPr lang="ru-RU"/>
                </a:p>
              </c:txPr>
              <c:showVal val="1"/>
            </c:dLbl>
            <c:dLbl>
              <c:idx val="3"/>
              <c:layout>
                <c:manualLayout>
                  <c:x val="5.485726252303573E-2"/>
                  <c:y val="0.16928270952432328"/>
                </c:manualLayout>
              </c:layout>
              <c:spPr/>
              <c:txPr>
                <a:bodyPr/>
                <a:lstStyle/>
                <a:p>
                  <a:pPr>
                    <a:defRPr sz="1000" baseline="0"/>
                  </a:pPr>
                  <a:endParaRPr lang="ru-RU"/>
                </a:p>
              </c:txPr>
              <c:showVal val="1"/>
            </c:dLbl>
            <c:delete val="1"/>
          </c:dLbls>
          <c:cat>
            <c:strRef>
              <c:f>Sheet1!$B$1:$F$1</c:f>
              <c:strCache>
                <c:ptCount val="5"/>
                <c:pt idx="0">
                  <c:v>Высшее юридическое образование</c:v>
                </c:pt>
                <c:pt idx="1">
                  <c:v>Иное высшее профессиональное образование </c:v>
                </c:pt>
                <c:pt idx="2">
                  <c:v>Среднее профессиональное образование </c:v>
                </c:pt>
                <c:pt idx="3">
                  <c:v>Два высших профессиональных образования</c:v>
                </c:pt>
                <c:pt idx="4">
                  <c:v>имеют послевузовское профессиональное обрпзование с присвоением ученой степени "Кандидат юридических наук"</c:v>
                </c:pt>
              </c:strCache>
            </c:strRef>
          </c:cat>
          <c:val>
            <c:numRef>
              <c:f>Sheet1!$B$2:$F$2</c:f>
              <c:numCache>
                <c:formatCode>0%</c:formatCode>
                <c:ptCount val="5"/>
                <c:pt idx="0">
                  <c:v>0.76000000000000034</c:v>
                </c:pt>
                <c:pt idx="1">
                  <c:v>0.21000000000000008</c:v>
                </c:pt>
                <c:pt idx="2">
                  <c:v>3.0000000000000002E-2</c:v>
                </c:pt>
                <c:pt idx="3">
                  <c:v>0.18000000000000008</c:v>
                </c:pt>
              </c:numCache>
            </c:numRef>
          </c:val>
        </c:ser>
      </c:pie3DChart>
    </c:plotArea>
    <c:legend>
      <c:legendPos val="r"/>
      <c:legendEntry>
        <c:idx val="0"/>
        <c:txPr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4"/>
        <c:delete val="1"/>
      </c:legendEntry>
      <c:layout>
        <c:manualLayout>
          <c:xMode val="edge"/>
          <c:yMode val="edge"/>
          <c:x val="0.47767314458033155"/>
          <c:y val="0.14600186962931003"/>
          <c:w val="0.50202161166024462"/>
          <c:h val="0.72668572250386576"/>
        </c:manualLayout>
      </c:layout>
      <c:spPr>
        <a:solidFill>
          <a:srgbClr val="FFFFFF"/>
        </a:solidFill>
        <a:ln w="3169">
          <a:solidFill>
            <a:srgbClr val="000000"/>
          </a:solidFill>
          <a:prstDash val="solid"/>
        </a:ln>
      </c:spPr>
      <c:txPr>
        <a:bodyPr/>
        <a:lstStyle/>
        <a:p>
          <a:pPr>
            <a:defRPr sz="734" b="1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zero"/>
  </c:chart>
  <c:spPr>
    <a:noFill/>
    <a:ln>
      <a:noFill/>
    </a:ln>
  </c:spPr>
  <c:txPr>
    <a:bodyPr/>
    <a:lstStyle/>
    <a:p>
      <a:pPr>
        <a:defRPr sz="149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16"/>
      <c:hPercent val="53"/>
      <c:rotY val="27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00000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00000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5.7777777777777782E-2"/>
          <c:y val="6.8965517241379309E-2"/>
          <c:w val="0.55421328207314224"/>
          <c:h val="0.80689655172413799"/>
        </c:manualLayout>
      </c:layout>
      <c:bar3DChart>
        <c:barDir val="col"/>
        <c:grouping val="clustered"/>
        <c:ser>
          <c:idx val="1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00FFFF"/>
            </a:solidFill>
            <a:ln w="12668">
              <a:solidFill>
                <a:srgbClr val="000000"/>
              </a:solidFill>
              <a:prstDash val="solid"/>
            </a:ln>
          </c:spPr>
          <c:dPt>
            <c:idx val="1"/>
            <c:spPr>
              <a:solidFill>
                <a:srgbClr val="FF6600"/>
              </a:solidFill>
              <a:ln w="12668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0000FF"/>
              </a:solidFill>
              <a:ln w="12668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FF0000"/>
              </a:solidFill>
              <a:ln w="12668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00FF00"/>
              </a:solidFill>
              <a:ln w="12668">
                <a:solidFill>
                  <a:srgbClr val="000000"/>
                </a:solidFill>
                <a:prstDash val="solid"/>
              </a:ln>
            </c:spPr>
          </c:dPt>
          <c:dPt>
            <c:idx val="5"/>
            <c:spPr>
              <a:solidFill>
                <a:srgbClr val="FFFF00"/>
              </a:solidFill>
              <a:ln w="12668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1.2257405515832483E-2"/>
                  <c:y val="-1.643835616438356E-2"/>
                </c:manualLayout>
              </c:layout>
              <c:showVal val="1"/>
            </c:dLbl>
            <c:dLbl>
              <c:idx val="1"/>
              <c:layout>
                <c:manualLayout>
                  <c:x val="1.4300306435137904E-2"/>
                  <c:y val="-1.643835616438356E-2"/>
                </c:manualLayout>
              </c:layout>
              <c:showVal val="1"/>
            </c:dLbl>
            <c:dLbl>
              <c:idx val="2"/>
              <c:layout>
                <c:manualLayout>
                  <c:x val="1.8386108273748723E-2"/>
                  <c:y val="-2.1917808219178082E-2"/>
                </c:manualLayout>
              </c:layout>
              <c:showVal val="1"/>
            </c:dLbl>
            <c:dLbl>
              <c:idx val="3"/>
              <c:layout>
                <c:manualLayout>
                  <c:x val="1.0214504596527077E-2"/>
                  <c:y val="-1.0958904109589039E-2"/>
                </c:manualLayout>
              </c:layout>
              <c:showVal val="1"/>
            </c:dLbl>
            <c:dLbl>
              <c:idx val="4"/>
              <c:layout>
                <c:manualLayout>
                  <c:x val="1.8386108273748723E-2"/>
                  <c:y val="-5.479452054794531E-3"/>
                </c:manualLayout>
              </c:layout>
              <c:showVal val="1"/>
            </c:dLbl>
            <c:dLbl>
              <c:idx val="5"/>
              <c:layout>
                <c:manualLayout>
                  <c:x val="1.634320735444331E-2"/>
                  <c:y val="-5.479452054794531E-3"/>
                </c:manualLayout>
              </c:layout>
              <c:showVal val="1"/>
            </c:dLbl>
            <c:txPr>
              <a:bodyPr/>
              <a:lstStyle/>
              <a:p>
                <a:pPr>
                  <a:defRPr sz="1000" baseline="0"/>
                </a:pPr>
                <a:endParaRPr lang="ru-RU"/>
              </a:p>
            </c:txPr>
            <c:showVal val="1"/>
          </c:dLbls>
          <c:cat>
            <c:strRef>
              <c:f>Sheet1!$B$1:$G$1</c:f>
              <c:strCache>
                <c:ptCount val="6"/>
                <c:pt idx="0">
                  <c:v>до 1 года</c:v>
                </c:pt>
                <c:pt idx="1">
                  <c:v>от 1 года                  до 5 лет</c:v>
                </c:pt>
                <c:pt idx="2">
                  <c:v>от 5 лет                         до 10 лет</c:v>
                </c:pt>
                <c:pt idx="3">
                  <c:v>от 10 лет                  до 15 лет</c:v>
                </c:pt>
                <c:pt idx="4">
                  <c:v>от 15 лет                    до 25 лет</c:v>
                </c:pt>
                <c:pt idx="5">
                  <c:v>от 25 лет                           и более</c:v>
                </c:pt>
              </c:strCache>
            </c:strRef>
          </c:cat>
          <c:val>
            <c:numRef>
              <c:f>Sheet1!$B$2:$G$2</c:f>
              <c:numCache>
                <c:formatCode>0%</c:formatCode>
                <c:ptCount val="6"/>
                <c:pt idx="0">
                  <c:v>9.0000000000000024E-2</c:v>
                </c:pt>
                <c:pt idx="1">
                  <c:v>6.0000000000000026E-2</c:v>
                </c:pt>
                <c:pt idx="2">
                  <c:v>0.18000000000000008</c:v>
                </c:pt>
                <c:pt idx="3">
                  <c:v>0.29000000000000015</c:v>
                </c:pt>
                <c:pt idx="4">
                  <c:v>0.32000000000000017</c:v>
                </c:pt>
                <c:pt idx="5">
                  <c:v>6.0000000000000026E-2</c:v>
                </c:pt>
              </c:numCache>
            </c:numRef>
          </c:val>
        </c:ser>
        <c:dLbls>
          <c:showVal val="1"/>
        </c:dLbls>
        <c:gapDepth val="0"/>
        <c:shape val="box"/>
        <c:axId val="120756864"/>
        <c:axId val="126034304"/>
        <c:axId val="0"/>
      </c:bar3DChart>
      <c:catAx>
        <c:axId val="120756864"/>
        <c:scaling>
          <c:orientation val="minMax"/>
        </c:scaling>
        <c:axPos val="b"/>
        <c:numFmt formatCode="General" sourceLinked="1"/>
        <c:tickLblPos val="low"/>
        <c:spPr>
          <a:ln w="316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98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6034304"/>
        <c:crosses val="autoZero"/>
        <c:auto val="1"/>
        <c:lblAlgn val="ctr"/>
        <c:lblOffset val="100"/>
        <c:tickLblSkip val="1"/>
        <c:tickMarkSkip val="1"/>
      </c:catAx>
      <c:valAx>
        <c:axId val="126034304"/>
        <c:scaling>
          <c:orientation val="minMax"/>
        </c:scaling>
        <c:axPos val="l"/>
        <c:majorGridlines>
          <c:spPr>
            <a:ln w="3167">
              <a:solidFill>
                <a:srgbClr val="000000"/>
              </a:solidFill>
              <a:prstDash val="solid"/>
            </a:ln>
          </c:spPr>
        </c:majorGridlines>
        <c:numFmt formatCode="0%" sourceLinked="1"/>
        <c:tickLblPos val="nextTo"/>
        <c:spPr>
          <a:ln w="316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2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0756864"/>
        <c:crosses val="autoZero"/>
        <c:crossBetween val="between"/>
      </c:valAx>
      <c:spPr>
        <a:noFill/>
        <a:ln w="25335">
          <a:noFill/>
        </a:ln>
      </c:spPr>
    </c:plotArea>
    <c:legend>
      <c:legendPos val="r"/>
      <c:layout>
        <c:manualLayout>
          <c:xMode val="edge"/>
          <c:yMode val="edge"/>
          <c:x val="0.63477467768010187"/>
          <c:y val="2.5129975191457231E-2"/>
          <c:w val="0.20664328858790529"/>
          <c:h val="0.9177137309891058"/>
        </c:manualLayout>
      </c:layout>
      <c:spPr>
        <a:solidFill>
          <a:srgbClr val="FFFFFF"/>
        </a:solidFill>
        <a:ln w="3167">
          <a:solidFill>
            <a:srgbClr val="000000"/>
          </a:solidFill>
          <a:prstDash val="solid"/>
        </a:ln>
      </c:spPr>
      <c:txPr>
        <a:bodyPr/>
        <a:lstStyle/>
        <a:p>
          <a:pPr>
            <a:defRPr sz="938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022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16"/>
      <c:hPercent val="53"/>
      <c:rotY val="27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00000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00000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5.7777777777777782E-2"/>
          <c:y val="6.8965517241379309E-2"/>
          <c:w val="0.55421328207314224"/>
          <c:h val="0.80689655172413799"/>
        </c:manualLayout>
      </c:layout>
      <c:bar3DChart>
        <c:barDir val="col"/>
        <c:grouping val="clustered"/>
        <c:ser>
          <c:idx val="1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00FFFF"/>
            </a:solidFill>
            <a:ln w="12668">
              <a:solidFill>
                <a:srgbClr val="000000"/>
              </a:solidFill>
              <a:prstDash val="solid"/>
            </a:ln>
          </c:spPr>
          <c:dPt>
            <c:idx val="1"/>
            <c:spPr>
              <a:solidFill>
                <a:srgbClr val="FFFF00"/>
              </a:solidFill>
              <a:ln w="12668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0000FF"/>
              </a:solidFill>
              <a:ln w="12668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FF0000"/>
              </a:solidFill>
              <a:ln w="12668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00FF00"/>
              </a:solidFill>
              <a:ln w="12668">
                <a:solidFill>
                  <a:srgbClr val="000000"/>
                </a:solidFill>
                <a:prstDash val="solid"/>
              </a:ln>
            </c:spPr>
          </c:dPt>
          <c:dPt>
            <c:idx val="5"/>
            <c:spPr>
              <a:solidFill>
                <a:srgbClr val="FFFF00"/>
              </a:solidFill>
              <a:ln w="12668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1.4300306435137904E-2"/>
                  <c:y val="5.479452054794531E-3"/>
                </c:manualLayout>
              </c:layout>
              <c:showVal val="1"/>
            </c:dLbl>
            <c:dLbl>
              <c:idx val="1"/>
              <c:layout>
                <c:manualLayout>
                  <c:x val="1.634320735444331E-2"/>
                  <c:y val="5.479452054794531E-3"/>
                </c:manualLayout>
              </c:layout>
              <c:showVal val="1"/>
            </c:dLbl>
            <c:dLbl>
              <c:idx val="2"/>
              <c:layout>
                <c:manualLayout>
                  <c:x val="1.8386108273748723E-2"/>
                  <c:y val="0"/>
                </c:manualLayout>
              </c:layout>
              <c:showVal val="1"/>
            </c:dLbl>
            <c:dLbl>
              <c:idx val="3"/>
              <c:layout>
                <c:manualLayout>
                  <c:x val="1.634320735444331E-2"/>
                  <c:y val="5.479452054794531E-3"/>
                </c:manualLayout>
              </c:layout>
              <c:showVal val="1"/>
            </c:dLbl>
            <c:dLbl>
              <c:idx val="4"/>
              <c:layout>
                <c:manualLayout>
                  <c:x val="1.634320735444331E-2"/>
                  <c:y val="-5.4798835077122261E-3"/>
                </c:manualLayout>
              </c:layout>
              <c:showVal val="1"/>
            </c:dLbl>
            <c:dLbl>
              <c:idx val="5"/>
              <c:layout>
                <c:manualLayout>
                  <c:x val="1.634320735444331E-2"/>
                  <c:y val="-5.4794520547945362E-3"/>
                </c:manualLayout>
              </c:layout>
              <c:showVal val="1"/>
            </c:dLbl>
            <c:txPr>
              <a:bodyPr/>
              <a:lstStyle/>
              <a:p>
                <a:pPr>
                  <a:defRPr sz="1000" baseline="0"/>
                </a:pPr>
                <a:endParaRPr lang="ru-RU"/>
              </a:p>
            </c:txPr>
            <c:showVal val="1"/>
          </c:dLbls>
          <c:cat>
            <c:strRef>
              <c:f>Sheet1!$B$1:$G$1</c:f>
              <c:strCache>
                <c:ptCount val="5"/>
                <c:pt idx="0">
                  <c:v>до 30 лет</c:v>
                </c:pt>
                <c:pt idx="1">
                  <c:v>от 30 до 39 лет</c:v>
                </c:pt>
                <c:pt idx="2">
                  <c:v>от 40 до 49 лет</c:v>
                </c:pt>
                <c:pt idx="3">
                  <c:v>от 50 до 59 лет</c:v>
                </c:pt>
                <c:pt idx="4">
                  <c:v>от 60 до 65 лет</c:v>
                </c:pt>
              </c:strCache>
            </c:strRef>
          </c:cat>
          <c:val>
            <c:numRef>
              <c:f>Sheet1!$B$2:$G$2</c:f>
              <c:numCache>
                <c:formatCode>0%</c:formatCode>
                <c:ptCount val="6"/>
                <c:pt idx="0">
                  <c:v>0.12000000000000002</c:v>
                </c:pt>
                <c:pt idx="1">
                  <c:v>0.56000000000000005</c:v>
                </c:pt>
                <c:pt idx="2">
                  <c:v>0.23</c:v>
                </c:pt>
                <c:pt idx="3">
                  <c:v>6.0000000000000026E-2</c:v>
                </c:pt>
                <c:pt idx="4">
                  <c:v>3.0000000000000002E-2</c:v>
                </c:pt>
              </c:numCache>
            </c:numRef>
          </c:val>
        </c:ser>
        <c:dLbls>
          <c:showVal val="1"/>
        </c:dLbls>
        <c:gapDepth val="0"/>
        <c:shape val="box"/>
        <c:axId val="119437568"/>
        <c:axId val="119468032"/>
        <c:axId val="0"/>
      </c:bar3DChart>
      <c:catAx>
        <c:axId val="119437568"/>
        <c:scaling>
          <c:orientation val="minMax"/>
        </c:scaling>
        <c:axPos val="b"/>
        <c:numFmt formatCode="General" sourceLinked="1"/>
        <c:tickLblPos val="low"/>
        <c:spPr>
          <a:ln w="316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98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9468032"/>
        <c:crosses val="autoZero"/>
        <c:auto val="1"/>
        <c:lblAlgn val="ctr"/>
        <c:lblOffset val="100"/>
        <c:tickLblSkip val="1"/>
        <c:tickMarkSkip val="1"/>
      </c:catAx>
      <c:valAx>
        <c:axId val="119468032"/>
        <c:scaling>
          <c:orientation val="minMax"/>
        </c:scaling>
        <c:axPos val="l"/>
        <c:majorGridlines>
          <c:spPr>
            <a:ln w="3167">
              <a:solidFill>
                <a:srgbClr val="000000"/>
              </a:solidFill>
              <a:prstDash val="solid"/>
            </a:ln>
          </c:spPr>
        </c:majorGridlines>
        <c:numFmt formatCode="0%" sourceLinked="1"/>
        <c:tickLblPos val="nextTo"/>
        <c:spPr>
          <a:ln w="316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22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9437568"/>
        <c:crosses val="autoZero"/>
        <c:crossBetween val="between"/>
      </c:valAx>
      <c:spPr>
        <a:noFill/>
        <a:ln w="25335">
          <a:noFill/>
        </a:ln>
      </c:spPr>
    </c:plotArea>
    <c:legend>
      <c:legendPos val="r"/>
      <c:legendEntry>
        <c:idx val="5"/>
        <c:delete val="1"/>
      </c:legendEntry>
      <c:layout>
        <c:manualLayout>
          <c:xMode val="edge"/>
          <c:yMode val="edge"/>
          <c:x val="0.63477467768010254"/>
          <c:y val="2.5129975191457231E-2"/>
          <c:w val="0.2066432885879054"/>
          <c:h val="0.9177137309891058"/>
        </c:manualLayout>
      </c:layout>
      <c:spPr>
        <a:solidFill>
          <a:srgbClr val="FFFFFF"/>
        </a:solidFill>
        <a:ln w="3167">
          <a:solidFill>
            <a:srgbClr val="000000"/>
          </a:solidFill>
          <a:prstDash val="solid"/>
        </a:ln>
      </c:spPr>
      <c:txPr>
        <a:bodyPr/>
        <a:lstStyle/>
        <a:p>
          <a:pPr>
            <a:defRPr sz="938" b="1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022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СОСТАВЕ РАБОТНИКОВ ЗАМЕЩАЮЩИХ ДОЛЖНОСТИ</vt:lpstr>
    </vt:vector>
  </TitlesOfParts>
  <Company>NhT</Company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СОСТАВЕ РАБОТНИКОВ ЗАМЕЩАЮЩИХ ДОЛЖНОСТИ</dc:title>
  <dc:creator>25_3</dc:creator>
  <cp:lastModifiedBy>USER</cp:lastModifiedBy>
  <cp:revision>4</cp:revision>
  <cp:lastPrinted>2019-03-11T09:34:00Z</cp:lastPrinted>
  <dcterms:created xsi:type="dcterms:W3CDTF">2019-03-05T10:00:00Z</dcterms:created>
  <dcterms:modified xsi:type="dcterms:W3CDTF">2019-03-11T09:35:00Z</dcterms:modified>
</cp:coreProperties>
</file>